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Pró-reitoria de Pós-graduação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Coordenação Geral de Programas de Pós-graduação Stricto Sensu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Seção de Acompanhamento e Avaliação de Cursos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sz w:val="24"/>
          <w:szCs w:val="24"/>
        </w:rPr>
      </w:pPr>
      <w:bookmarkStart w:colFirst="0" w:colLast="0" w:name="_nhn68njuc071" w:id="0"/>
      <w:bookmarkEnd w:id="0"/>
      <w:r w:rsidDel="00000000" w:rsidR="00000000" w:rsidRPr="00000000">
        <w:rPr>
          <w:sz w:val="24"/>
          <w:szCs w:val="24"/>
          <w:rtl w:val="0"/>
        </w:rPr>
        <w:t xml:space="preserve">1. Checklist para verificação de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itens essenciais ao Regimento Interno dos PPG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Stricto Sensu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com base na Resolução 19/2020 do CEPE/UFPE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4050"/>
        <w:gridCol w:w="3885"/>
        <w:gridCol w:w="2100"/>
        <w:gridCol w:w="1860"/>
        <w:tblGridChange w:id="0">
          <w:tblGrid>
            <w:gridCol w:w="2175"/>
            <w:gridCol w:w="4050"/>
            <w:gridCol w:w="3885"/>
            <w:gridCol w:w="2100"/>
            <w:gridCol w:w="1860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PREENCHIMENTO PELO PPG</w:t>
            </w:r>
          </w:p>
        </w:tc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EXIGÊNCIAS DA RESOLUÇÃO 19/2020 DO CEPE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PREENCHIMENTO PELA PROPG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Qual(is) artigo(s) do Regimento Interno </w:t>
            </w:r>
            <w:r w:rsidDel="00000000" w:rsidR="00000000" w:rsidRPr="00000000">
              <w:rPr>
                <w:b w:val="1"/>
                <w:rtl w:val="0"/>
              </w:rPr>
              <w:t xml:space="preserve">trata(m)</w:t>
            </w:r>
            <w:r w:rsidDel="00000000" w:rsidR="00000000" w:rsidRPr="00000000">
              <w:rPr>
                <w:b w:val="1"/>
                <w:rtl w:val="0"/>
              </w:rPr>
              <w:t xml:space="preserve"> do tema?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 A SER ABORDADO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DETALHAMENTO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ARTIGO BASE DA RESOLUÇÃO 19/2020 DO CEPE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Confirmação de inclusão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 organização funcional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6"/>
              </w:numPr>
              <w:spacing w:line="240" w:lineRule="auto"/>
              <w:ind w:left="425.19685039370074" w:hanging="283.4645669291342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instância de planejamento;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6"/>
              </w:numPr>
              <w:spacing w:line="240" w:lineRule="auto"/>
              <w:ind w:left="425.19685039370074" w:hanging="283.4645669291342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instância de avaliação;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6"/>
              </w:numPr>
              <w:spacing w:line="240" w:lineRule="auto"/>
              <w:ind w:left="425.19685039370074" w:hanging="283.4645669291342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instância de acompanhamento sistemático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Art. 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[     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7.97851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organização administrativa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Art. 4º, § 2º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 composição e competências de seu colegiado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4º, § 2º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 eleição e competências da coordenação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4º, § 2º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prazos de duração dos cursos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2"/>
              </w:numPr>
              <w:spacing w:line="240" w:lineRule="auto"/>
              <w:ind w:left="4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prazo regular do mestrado;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2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prazo regular do doutorado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4º, § 2º;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 regime acadêmico dos cursos oferecidos e outras regras pertinentes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4º, § 2º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critérios para obtenção do(s) grau(s)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critérios para o título de mestre; 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critérios para o título de doutor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4º, § 2º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 critérios para o credenciamento e descredenciamento docente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definição de critérios no próprio regimento ou, preferencialmente, fazendo indicação de instrução normativa própria;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Art. 15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 reuniões presenciais e não-presenciais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Art.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 número de créditos necessários à integralização do(s) curso(s)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7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número de créditos obrigatórios e optativos do mestrado; 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7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número de créditos obrigatórios e optativos do doutorado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 desligamento de discentes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critérios para o desligamento discentes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Art. 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 Atividade de Qualificação (sem banca examinadora) e/ou Exame de Qualificação (com avaliação por uma banca examinadora)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obrigatoriedade ou não da atividade e/ou do exame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Art. 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 requisitos e exigências para defesa do Trabalho de Conclusão de Curso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Art. 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14. sessão de defesa do trabalho de </w:t>
            </w:r>
            <w:r w:rsidDel="00000000" w:rsidR="00000000" w:rsidRPr="00000000">
              <w:rPr>
                <w:rtl w:val="0"/>
              </w:rPr>
              <w:t xml:space="preserve">conclusão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permissão ou não de defesa não-presencial;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composição da comissão examinadora;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participação ou não do orientador e/ou do coorientador;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defesa presencial com membro por videoconferência;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detalhamento do rito.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Art. 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</w:tbl>
    <w:p w:rsidR="00000000" w:rsidDel="00000000" w:rsidP="00000000" w:rsidRDefault="00000000" w:rsidRPr="00000000" w14:paraId="0000006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left"/>
        <w:rPr>
          <w:sz w:val="24"/>
          <w:szCs w:val="24"/>
          <w:u w:val="single"/>
        </w:rPr>
      </w:pPr>
      <w:bookmarkStart w:colFirst="0" w:colLast="0" w:name="_a65di0drtwmh" w:id="1"/>
      <w:bookmarkEnd w:id="1"/>
      <w:r w:rsidDel="00000000" w:rsidR="00000000" w:rsidRPr="00000000">
        <w:rPr>
          <w:sz w:val="24"/>
          <w:szCs w:val="24"/>
          <w:rtl w:val="0"/>
        </w:rPr>
        <w:t xml:space="preserve">2. Checklist para verificação de itens necessários ao Regimento Interno com base na Resolução 19/2020 do CEPE/UFPE,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caso o PPG deseje adotar tais procedimentos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4005"/>
        <w:gridCol w:w="4020"/>
        <w:gridCol w:w="1980"/>
        <w:gridCol w:w="1800"/>
        <w:tblGridChange w:id="0">
          <w:tblGrid>
            <w:gridCol w:w="2190"/>
            <w:gridCol w:w="4005"/>
            <w:gridCol w:w="4020"/>
            <w:gridCol w:w="1980"/>
            <w:gridCol w:w="1800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PREENCHIMENTO PELO PPG</w:t>
            </w:r>
          </w:p>
        </w:tc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DETALHAMENTO COM BASE  NA RESOLUÇÃO 19/2020 DO CEPE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PREENCHIMENTO PELA PROPG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Qual(is) artigo(s) do Regimento Interno </w:t>
            </w:r>
            <w:r w:rsidDel="00000000" w:rsidR="00000000" w:rsidRPr="00000000">
              <w:rPr>
                <w:b w:val="1"/>
                <w:rtl w:val="0"/>
              </w:rPr>
              <w:t xml:space="preserve">trata(m)</w:t>
            </w:r>
            <w:r w:rsidDel="00000000" w:rsidR="00000000" w:rsidRPr="00000000">
              <w:rPr>
                <w:b w:val="1"/>
                <w:rtl w:val="0"/>
              </w:rPr>
              <w:t xml:space="preserve"> do tema?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 A SER ABORDADO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DETALHAMENTO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ARTIGO BASE DA RESOLUÇÃO 19/2020 DO CEPE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Confirmação de inclusão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 fluxo contínuo no processo seletivo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1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possibilidade ou não de ingresso por fluxo contínuo;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1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tempo de validade do processo seletivo discente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26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(Obs.: Verificar a Instrução Normativa 02/2020 da CPPG)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 previsão de reuniões síncronas e assíncronas do colegiado e de suas comissões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previsão da possibilidade de reuniões síncronas (presencial e não presencial) e assíncronas (não presencial)</w:t>
            </w:r>
            <w:r w:rsidDel="00000000" w:rsidR="00000000" w:rsidRPr="00000000">
              <w:rPr>
                <w:rtl w:val="0"/>
              </w:rPr>
              <w:t xml:space="preserve"> por diferentes estratégias de comunicação (aplicativos de mensagem, questionários </w:t>
            </w:r>
            <w:r w:rsidDel="00000000" w:rsidR="00000000" w:rsidRPr="00000000">
              <w:rPr>
                <w:i w:val="1"/>
                <w:rtl w:val="0"/>
              </w:rPr>
              <w:t xml:space="preserve">on line</w:t>
            </w:r>
            <w:r w:rsidDel="00000000" w:rsidR="00000000" w:rsidRPr="00000000">
              <w:rPr>
                <w:rtl w:val="0"/>
              </w:rPr>
              <w:t xml:space="preserve">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 matrículas de ingressantes fora do calendário semestral de matrículas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Art. 30, § 2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 passagem de discentes do Mestrado para o Doutorado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possibilidade ou não de passagem direta do mestrado para o doutorado;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critérios para passagem direta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 tempo regular de duração dos cursos, para os cursos de Doutorado direto e no caso de mudança de nível de mestrado para doutorado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49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(Obs.: Verificar a Instrução Normativa 02/2005 da CCEPE)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 segundo orientador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possibilidade ou não de segundo orientador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52, § 2º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21. previsão de diferentes tipos de produtos aos tradicionalmente utilizados (dissertação e tese) para os mestrados e doutorados profissionais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0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possibilidade ou não de diferentes produtos;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0"/>
              </w:numPr>
              <w:spacing w:line="240" w:lineRule="auto"/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descrição de quais produtos serão aceitos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Art. 54, 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     ]</w:t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left"/>
        <w:rPr>
          <w:sz w:val="24"/>
          <w:szCs w:val="24"/>
        </w:rPr>
      </w:pPr>
      <w:bookmarkStart w:colFirst="0" w:colLast="0" w:name="_itcu8p988wy7" w:id="2"/>
      <w:bookmarkEnd w:id="2"/>
      <w:r w:rsidDel="00000000" w:rsidR="00000000" w:rsidRPr="00000000">
        <w:rPr>
          <w:sz w:val="24"/>
          <w:szCs w:val="24"/>
          <w:rtl w:val="0"/>
        </w:rPr>
        <w:t xml:space="preserve">3. Outras recomendações passíveis de adoção, </w:t>
      </w:r>
      <w:r w:rsidDel="00000000" w:rsidR="00000000" w:rsidRPr="00000000">
        <w:rPr>
          <w:sz w:val="24"/>
          <w:szCs w:val="24"/>
          <w:rtl w:val="0"/>
        </w:rPr>
        <w:t xml:space="preserve">caso o PPG as considere pertinentes, a exemplo de:</w:t>
      </w:r>
    </w:p>
    <w:p w:rsidR="00000000" w:rsidDel="00000000" w:rsidP="00000000" w:rsidRDefault="00000000" w:rsidRPr="00000000" w14:paraId="0000009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Instituição de comissões para o auxílio aos trabalhos da coordenação de curso e demandas do colegiado, como por </w:t>
      </w:r>
      <w:r w:rsidDel="00000000" w:rsidR="00000000" w:rsidRPr="00000000">
        <w:rPr>
          <w:sz w:val="28"/>
          <w:szCs w:val="28"/>
          <w:rtl w:val="0"/>
        </w:rPr>
        <w:t xml:space="preserve">exemplo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A1">
      <w:pPr>
        <w:numPr>
          <w:ilvl w:val="1"/>
          <w:numId w:val="4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Comissão de Acompanhamento Discente - acompanhamento do ciclo de formação dos(as) estudantes;</w:t>
      </w:r>
    </w:p>
    <w:p w:rsidR="00000000" w:rsidDel="00000000" w:rsidP="00000000" w:rsidRDefault="00000000" w:rsidRPr="00000000" w14:paraId="000000A2">
      <w:pPr>
        <w:numPr>
          <w:ilvl w:val="1"/>
          <w:numId w:val="4"/>
        </w:numPr>
        <w:ind w:left="144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Comissão de Bancas </w:t>
      </w: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sz w:val="28"/>
          <w:szCs w:val="28"/>
          <w:rtl w:val="0"/>
        </w:rPr>
        <w:t xml:space="preserve"> aprovação dos membros das bancas de qualificação e defesas, a critério do PPG;</w:t>
      </w:r>
    </w:p>
    <w:p w:rsidR="00000000" w:rsidDel="00000000" w:rsidP="00000000" w:rsidRDefault="00000000" w:rsidRPr="00000000" w14:paraId="000000A3">
      <w:pPr>
        <w:numPr>
          <w:ilvl w:val="1"/>
          <w:numId w:val="4"/>
        </w:numPr>
        <w:ind w:left="144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Comissão de Avaliação e Preenchimento do Sucupira - Auxilia a Coordenação de curso na elaboração dos relatórios anuais para a CAPES;</w:t>
      </w:r>
    </w:p>
    <w:p w:rsidR="00000000" w:rsidDel="00000000" w:rsidP="00000000" w:rsidRDefault="00000000" w:rsidRPr="00000000" w14:paraId="000000A4">
      <w:pPr>
        <w:numPr>
          <w:ilvl w:val="1"/>
          <w:numId w:val="4"/>
        </w:numPr>
        <w:ind w:left="144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Comissão de integridade em pesquisa - para tratar dos casos de plágio, fabricação e adulteração de dados;</w:t>
      </w:r>
    </w:p>
    <w:p w:rsidR="00000000" w:rsidDel="00000000" w:rsidP="00000000" w:rsidRDefault="00000000" w:rsidRPr="00000000" w14:paraId="000000A5">
      <w:pPr>
        <w:numPr>
          <w:ilvl w:val="1"/>
          <w:numId w:val="4"/>
        </w:numPr>
        <w:ind w:left="144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Comissão de Planejamento Estratégico - auxiliar a coordenação na elaboração de seu planejamento estratégico, alinhado com o PDI e PIPG, uma das exigências para preenchimento da proposta do programa na SUCUPIRA;</w:t>
      </w:r>
    </w:p>
    <w:p w:rsidR="00000000" w:rsidDel="00000000" w:rsidP="00000000" w:rsidRDefault="00000000" w:rsidRPr="00000000" w14:paraId="000000A6">
      <w:pPr>
        <w:numPr>
          <w:ilvl w:val="1"/>
          <w:numId w:val="4"/>
        </w:numPr>
        <w:ind w:left="144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Comissão de Autoavaliação - objetiva elaborar e implementar o processo de autoavaliação, além de elaborar o planejamento estratégico e acompanhar os índices de crescimento do PPG.</w:t>
      </w:r>
    </w:p>
    <w:p w:rsidR="00000000" w:rsidDel="00000000" w:rsidP="00000000" w:rsidRDefault="00000000" w:rsidRPr="00000000" w14:paraId="000000A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1133.8582677165355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Obs.: O PPG pode definir uma comissão para mais de um dos assuntos exemplificados acima.</w:t>
      </w:r>
    </w:p>
    <w:p w:rsidR="00000000" w:rsidDel="00000000" w:rsidP="00000000" w:rsidRDefault="00000000" w:rsidRPr="00000000" w14:paraId="000000A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Utilizar o recurso do Fluxo Contínuo como estratégia de entrada no curso, viabilizando a realização de entrada em dois semestres diferentes a partir de um único concurso de seleção (até 12 meses de validade).</w:t>
      </w:r>
    </w:p>
    <w:p w:rsidR="00000000" w:rsidDel="00000000" w:rsidP="00000000" w:rsidRDefault="00000000" w:rsidRPr="00000000" w14:paraId="000000A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Checklist atualizado em 19/03/2021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